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57"/>
      </w:tblGrid>
      <w:tr w:rsidR="00225216" w14:paraId="735A1297" w14:textId="77777777" w:rsidTr="00225216">
        <w:tc>
          <w:tcPr>
            <w:tcW w:w="9212" w:type="dxa"/>
            <w:gridSpan w:val="2"/>
          </w:tcPr>
          <w:p w14:paraId="4807EE9F" w14:textId="77777777" w:rsidR="00225216" w:rsidRDefault="00225216" w:rsidP="004625A2">
            <w:pPr>
              <w:spacing w:after="120"/>
              <w:jc w:val="center"/>
              <w:rPr>
                <w:sz w:val="20"/>
                <w:szCs w:val="20"/>
              </w:rPr>
            </w:pPr>
            <w:r w:rsidRPr="00225216">
              <w:rPr>
                <w:sz w:val="40"/>
                <w:szCs w:val="20"/>
              </w:rPr>
              <w:t xml:space="preserve">OFFRE </w:t>
            </w:r>
            <w:r w:rsidR="004625A2">
              <w:rPr>
                <w:sz w:val="40"/>
                <w:szCs w:val="20"/>
              </w:rPr>
              <w:t>DE STAGE</w:t>
            </w:r>
          </w:p>
        </w:tc>
      </w:tr>
      <w:tr w:rsidR="00225216" w14:paraId="2605FF74" w14:textId="77777777" w:rsidTr="00225216">
        <w:tc>
          <w:tcPr>
            <w:tcW w:w="2235" w:type="dxa"/>
          </w:tcPr>
          <w:p w14:paraId="618819F9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Intitulé</w:t>
            </w:r>
          </w:p>
        </w:tc>
        <w:tc>
          <w:tcPr>
            <w:tcW w:w="6977" w:type="dxa"/>
          </w:tcPr>
          <w:p w14:paraId="3D594DAF" w14:textId="6BB0EDAE" w:rsidR="00225216" w:rsidRDefault="00CA5969" w:rsidP="00E357F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</w:t>
            </w:r>
            <w:r w:rsidR="00225216" w:rsidRPr="000E299E">
              <w:rPr>
                <w:b/>
                <w:sz w:val="20"/>
                <w:szCs w:val="20"/>
              </w:rPr>
              <w:t xml:space="preserve"> D</w:t>
            </w:r>
            <w:r w:rsidR="00E357F0">
              <w:rPr>
                <w:b/>
                <w:sz w:val="20"/>
                <w:szCs w:val="20"/>
              </w:rPr>
              <w:t>E PROJET</w:t>
            </w:r>
            <w:r w:rsidR="00DE30AE">
              <w:rPr>
                <w:b/>
                <w:sz w:val="20"/>
                <w:szCs w:val="20"/>
              </w:rPr>
              <w:t xml:space="preserve"> ENERGIESPRONG</w:t>
            </w:r>
          </w:p>
        </w:tc>
      </w:tr>
      <w:tr w:rsidR="00225216" w14:paraId="46CA1697" w14:textId="77777777" w:rsidTr="00225216">
        <w:tc>
          <w:tcPr>
            <w:tcW w:w="2235" w:type="dxa"/>
          </w:tcPr>
          <w:p w14:paraId="4F25C68D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Zone géographique </w:t>
            </w:r>
          </w:p>
        </w:tc>
        <w:tc>
          <w:tcPr>
            <w:tcW w:w="6977" w:type="dxa"/>
          </w:tcPr>
          <w:p w14:paraId="773EFF03" w14:textId="4F857B29" w:rsidR="00225216" w:rsidRDefault="00433BBE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Saint-Herblain (44)</w:t>
            </w:r>
          </w:p>
        </w:tc>
      </w:tr>
      <w:tr w:rsidR="00225216" w14:paraId="78D2EDC3" w14:textId="77777777" w:rsidTr="00225216">
        <w:tc>
          <w:tcPr>
            <w:tcW w:w="2235" w:type="dxa"/>
          </w:tcPr>
          <w:p w14:paraId="51D18C7A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Type de contrat </w:t>
            </w:r>
          </w:p>
        </w:tc>
        <w:tc>
          <w:tcPr>
            <w:tcW w:w="6977" w:type="dxa"/>
          </w:tcPr>
          <w:p w14:paraId="6F06F431" w14:textId="7184E266" w:rsidR="00225216" w:rsidRDefault="00CA5969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</w:t>
            </w:r>
          </w:p>
        </w:tc>
      </w:tr>
      <w:tr w:rsidR="00225216" w14:paraId="43A5B2DB" w14:textId="77777777" w:rsidTr="00225216">
        <w:tc>
          <w:tcPr>
            <w:tcW w:w="2235" w:type="dxa"/>
          </w:tcPr>
          <w:p w14:paraId="4EF85CAE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Poste à pourvoir </w:t>
            </w:r>
          </w:p>
        </w:tc>
        <w:tc>
          <w:tcPr>
            <w:tcW w:w="6977" w:type="dxa"/>
          </w:tcPr>
          <w:p w14:paraId="29086F61" w14:textId="77777777" w:rsidR="00225216" w:rsidRDefault="00374C93" w:rsidP="002252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Dès que possible</w:t>
            </w:r>
          </w:p>
        </w:tc>
      </w:tr>
      <w:tr w:rsidR="00225216" w14:paraId="1353F146" w14:textId="77777777" w:rsidTr="00225216">
        <w:tc>
          <w:tcPr>
            <w:tcW w:w="2235" w:type="dxa"/>
          </w:tcPr>
          <w:p w14:paraId="46CB5480" w14:textId="77777777" w:rsidR="00225216" w:rsidRDefault="00225216" w:rsidP="00225216">
            <w:pPr>
              <w:spacing w:after="120"/>
              <w:rPr>
                <w:sz w:val="20"/>
                <w:szCs w:val="20"/>
              </w:rPr>
            </w:pPr>
            <w:r w:rsidRPr="000E299E">
              <w:rPr>
                <w:sz w:val="20"/>
                <w:szCs w:val="20"/>
              </w:rPr>
              <w:t>Contact</w:t>
            </w:r>
          </w:p>
        </w:tc>
        <w:tc>
          <w:tcPr>
            <w:tcW w:w="6977" w:type="dxa"/>
          </w:tcPr>
          <w:p w14:paraId="01757D48" w14:textId="77777777" w:rsidR="00225216" w:rsidRDefault="008256E3" w:rsidP="00225216">
            <w:pPr>
              <w:spacing w:after="120"/>
              <w:rPr>
                <w:sz w:val="20"/>
                <w:szCs w:val="20"/>
              </w:rPr>
            </w:pPr>
            <w:hyperlink r:id="rId10" w:history="1">
              <w:r w:rsidR="008631E3" w:rsidRPr="002D384C">
                <w:rPr>
                  <w:rStyle w:val="Lienhypertexte"/>
                  <w:sz w:val="20"/>
                  <w:szCs w:val="20"/>
                </w:rPr>
                <w:t>contact@emenda.fr</w:t>
              </w:r>
            </w:hyperlink>
          </w:p>
        </w:tc>
      </w:tr>
    </w:tbl>
    <w:p w14:paraId="165BD42A" w14:textId="77777777" w:rsidR="00EE3E2A" w:rsidRDefault="00EE3E2A" w:rsidP="000762E8">
      <w:pPr>
        <w:spacing w:after="160"/>
        <w:rPr>
          <w:sz w:val="20"/>
          <w:szCs w:val="20"/>
        </w:rPr>
      </w:pPr>
    </w:p>
    <w:p w14:paraId="5BE7040B" w14:textId="77777777" w:rsidR="00710142" w:rsidRPr="000E299E" w:rsidRDefault="00950B60" w:rsidP="00433BBE">
      <w:p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 xml:space="preserve">EMENDA, </w:t>
      </w:r>
      <w:r w:rsidR="00EE3E2A">
        <w:rPr>
          <w:sz w:val="20"/>
          <w:szCs w:val="20"/>
        </w:rPr>
        <w:t>société</w:t>
      </w:r>
      <w:r w:rsidR="00CC5E64" w:rsidRPr="000E299E">
        <w:rPr>
          <w:sz w:val="20"/>
          <w:szCs w:val="20"/>
        </w:rPr>
        <w:t xml:space="preserve"> </w:t>
      </w:r>
      <w:r w:rsidR="00A86DBE">
        <w:rPr>
          <w:sz w:val="20"/>
          <w:szCs w:val="20"/>
        </w:rPr>
        <w:t xml:space="preserve">dynamique </w:t>
      </w:r>
      <w:r w:rsidR="000C1B68">
        <w:rPr>
          <w:sz w:val="20"/>
          <w:szCs w:val="20"/>
        </w:rPr>
        <w:t xml:space="preserve">créée par deux centraliens et </w:t>
      </w:r>
      <w:r w:rsidRPr="000E299E">
        <w:rPr>
          <w:sz w:val="20"/>
          <w:szCs w:val="20"/>
        </w:rPr>
        <w:t>basée à Nantes, propose à ses</w:t>
      </w:r>
      <w:r w:rsidR="00650084" w:rsidRPr="000E299E">
        <w:rPr>
          <w:sz w:val="20"/>
          <w:szCs w:val="20"/>
        </w:rPr>
        <w:t xml:space="preserve"> clients (professionnels</w:t>
      </w:r>
      <w:r w:rsidR="00575782">
        <w:rPr>
          <w:sz w:val="20"/>
          <w:szCs w:val="20"/>
        </w:rPr>
        <w:t xml:space="preserve"> essentiellement</w:t>
      </w:r>
      <w:r w:rsidRPr="000E299E">
        <w:rPr>
          <w:sz w:val="20"/>
          <w:szCs w:val="20"/>
        </w:rPr>
        <w:t xml:space="preserve">) des solutions globales </w:t>
      </w:r>
      <w:r w:rsidR="00650084" w:rsidRPr="000E299E">
        <w:rPr>
          <w:sz w:val="20"/>
          <w:szCs w:val="20"/>
        </w:rPr>
        <w:t>de performance énergétique</w:t>
      </w:r>
      <w:r w:rsidR="00C849BF" w:rsidRPr="000E299E">
        <w:rPr>
          <w:sz w:val="20"/>
          <w:szCs w:val="20"/>
        </w:rPr>
        <w:t xml:space="preserve"> du bâtiment</w:t>
      </w:r>
      <w:r w:rsidR="00650084" w:rsidRPr="000E299E">
        <w:rPr>
          <w:sz w:val="20"/>
          <w:szCs w:val="20"/>
        </w:rPr>
        <w:t>, dans la rénovation comme dans le neuf</w:t>
      </w:r>
      <w:r w:rsidR="00C849BF" w:rsidRPr="000E299E">
        <w:rPr>
          <w:sz w:val="20"/>
          <w:szCs w:val="20"/>
        </w:rPr>
        <w:t xml:space="preserve"> en tant que bureau d’études techniques </w:t>
      </w:r>
      <w:r w:rsidR="00A86DBE">
        <w:rPr>
          <w:sz w:val="20"/>
          <w:szCs w:val="20"/>
        </w:rPr>
        <w:t xml:space="preserve">(B.E.T.) </w:t>
      </w:r>
      <w:r w:rsidR="00C849BF" w:rsidRPr="000E299E">
        <w:rPr>
          <w:sz w:val="20"/>
          <w:szCs w:val="20"/>
        </w:rPr>
        <w:t>thermique</w:t>
      </w:r>
      <w:r w:rsidR="00374C93">
        <w:rPr>
          <w:sz w:val="20"/>
          <w:szCs w:val="20"/>
        </w:rPr>
        <w:t>,</w:t>
      </w:r>
      <w:r w:rsidR="00C849BF" w:rsidRPr="000E299E">
        <w:rPr>
          <w:sz w:val="20"/>
          <w:szCs w:val="20"/>
        </w:rPr>
        <w:t xml:space="preserve"> fluides</w:t>
      </w:r>
      <w:r w:rsidR="00374C93">
        <w:rPr>
          <w:sz w:val="20"/>
          <w:szCs w:val="20"/>
        </w:rPr>
        <w:t>, acoustique et environnement</w:t>
      </w:r>
      <w:r w:rsidR="008631E3">
        <w:rPr>
          <w:sz w:val="20"/>
          <w:szCs w:val="20"/>
        </w:rPr>
        <w:t xml:space="preserve"> (www.emenda.fr)</w:t>
      </w:r>
      <w:r w:rsidRPr="000E299E">
        <w:rPr>
          <w:sz w:val="20"/>
          <w:szCs w:val="20"/>
        </w:rPr>
        <w:t>.</w:t>
      </w:r>
    </w:p>
    <w:p w14:paraId="3DC80A47" w14:textId="1A65C3D8" w:rsidR="00360382" w:rsidRDefault="00DE30AE" w:rsidP="00433BBE">
      <w:pPr>
        <w:jc w:val="both"/>
        <w:rPr>
          <w:sz w:val="20"/>
          <w:szCs w:val="20"/>
        </w:rPr>
      </w:pPr>
      <w:r>
        <w:rPr>
          <w:sz w:val="20"/>
          <w:szCs w:val="20"/>
        </w:rPr>
        <w:t>EMENDA a décroché</w:t>
      </w:r>
      <w:r w:rsidR="00C2436C">
        <w:rPr>
          <w:sz w:val="20"/>
          <w:szCs w:val="20"/>
        </w:rPr>
        <w:t xml:space="preserve"> un important contrat d’AMO (Assistance à Maitrise d’Ouvrage) auprès de l’USH (Union Sociale de l’Habitat) des Pays de Loire, au titre</w:t>
      </w:r>
      <w:r w:rsidR="00320C93">
        <w:rPr>
          <w:sz w:val="20"/>
          <w:szCs w:val="20"/>
        </w:rPr>
        <w:t xml:space="preserve"> de la première vague </w:t>
      </w:r>
      <w:proofErr w:type="spellStart"/>
      <w:r w:rsidR="00320C93">
        <w:rPr>
          <w:sz w:val="20"/>
          <w:szCs w:val="20"/>
        </w:rPr>
        <w:t>Energiesprong</w:t>
      </w:r>
      <w:proofErr w:type="spellEnd"/>
      <w:r w:rsidR="00320C93">
        <w:rPr>
          <w:sz w:val="20"/>
          <w:szCs w:val="20"/>
        </w:rPr>
        <w:t xml:space="preserve"> d’ampleur dans le pays. Plus d’informations sur </w:t>
      </w:r>
      <w:proofErr w:type="spellStart"/>
      <w:r w:rsidR="00320C93">
        <w:rPr>
          <w:sz w:val="20"/>
          <w:szCs w:val="20"/>
        </w:rPr>
        <w:t>Energiesprong</w:t>
      </w:r>
      <w:proofErr w:type="spellEnd"/>
      <w:r w:rsidR="00320C93">
        <w:rPr>
          <w:sz w:val="20"/>
          <w:szCs w:val="20"/>
        </w:rPr>
        <w:t xml:space="preserve"> </w:t>
      </w:r>
      <w:hyperlink r:id="rId11" w:history="1">
        <w:r w:rsidR="00320C93" w:rsidRPr="00497FAC">
          <w:rPr>
            <w:rStyle w:val="Lienhypertexte"/>
            <w:sz w:val="20"/>
            <w:szCs w:val="20"/>
          </w:rPr>
          <w:t>ici</w:t>
        </w:r>
      </w:hyperlink>
      <w:r w:rsidR="00320C93">
        <w:rPr>
          <w:sz w:val="20"/>
          <w:szCs w:val="20"/>
        </w:rPr>
        <w:t xml:space="preserve">. Concrètement, </w:t>
      </w:r>
      <w:proofErr w:type="spellStart"/>
      <w:r w:rsidR="00404BB5">
        <w:rPr>
          <w:sz w:val="20"/>
          <w:szCs w:val="20"/>
        </w:rPr>
        <w:t>Energiesprong</w:t>
      </w:r>
      <w:proofErr w:type="spellEnd"/>
      <w:r w:rsidR="00404BB5">
        <w:rPr>
          <w:sz w:val="20"/>
          <w:szCs w:val="20"/>
        </w:rPr>
        <w:t xml:space="preserve"> est une démarche consistant à massifier la rénovation énergétique, en </w:t>
      </w:r>
      <w:r w:rsidR="00826EB2">
        <w:rPr>
          <w:sz w:val="20"/>
          <w:szCs w:val="20"/>
        </w:rPr>
        <w:t xml:space="preserve">agrégeant la demande et en mobilisant les filières industrielles du bâtiment. </w:t>
      </w:r>
      <w:r w:rsidR="00A474DA">
        <w:rPr>
          <w:sz w:val="20"/>
          <w:szCs w:val="20"/>
        </w:rPr>
        <w:t xml:space="preserve">Pas moins de 12 bailleurs ligériens et 2 bailleurs bretons se sont regroupés pour </w:t>
      </w:r>
      <w:r w:rsidR="00360382">
        <w:rPr>
          <w:sz w:val="20"/>
          <w:szCs w:val="20"/>
        </w:rPr>
        <w:t>la rénovation de 2000 logements avec un objectif zéro énergie sur 30 ans. Le marché est évalué à 200 M€ en investissement.</w:t>
      </w:r>
      <w:r w:rsidR="008876B7">
        <w:rPr>
          <w:sz w:val="20"/>
          <w:szCs w:val="20"/>
        </w:rPr>
        <w:t xml:space="preserve"> </w:t>
      </w:r>
      <w:r w:rsidR="00360382">
        <w:rPr>
          <w:sz w:val="20"/>
          <w:szCs w:val="20"/>
        </w:rPr>
        <w:t>EMENDA est chargée d’organiser la consultation des entreprises</w:t>
      </w:r>
      <w:r w:rsidR="006F241A">
        <w:rPr>
          <w:sz w:val="20"/>
          <w:szCs w:val="20"/>
        </w:rPr>
        <w:t xml:space="preserve"> en vue de la passation de ce marché, qui s’inscrit dans un dialogue compétitif étalé entre janvier et décembre 2021.</w:t>
      </w:r>
    </w:p>
    <w:p w14:paraId="0CF76D45" w14:textId="6018D4AD" w:rsidR="009C7247" w:rsidRDefault="009C7247" w:rsidP="00433B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Fort de ce premier succès, EMENDA </w:t>
      </w:r>
      <w:r w:rsidR="008876B7">
        <w:rPr>
          <w:sz w:val="20"/>
          <w:szCs w:val="20"/>
        </w:rPr>
        <w:t xml:space="preserve">a déjà décroché 3 autres missions d’AMO </w:t>
      </w:r>
      <w:proofErr w:type="spellStart"/>
      <w:r w:rsidR="008876B7">
        <w:rPr>
          <w:sz w:val="20"/>
          <w:szCs w:val="20"/>
        </w:rPr>
        <w:t>Energiesprong</w:t>
      </w:r>
      <w:proofErr w:type="spellEnd"/>
      <w:r w:rsidR="008876B7">
        <w:rPr>
          <w:sz w:val="20"/>
          <w:szCs w:val="20"/>
        </w:rPr>
        <w:t xml:space="preserve"> dans le pays et nous attendons d’</w:t>
      </w:r>
      <w:r w:rsidR="00A42F65">
        <w:rPr>
          <w:sz w:val="20"/>
          <w:szCs w:val="20"/>
        </w:rPr>
        <w:t>autres succès importants dans les mois à venir.</w:t>
      </w:r>
    </w:p>
    <w:p w14:paraId="489305B5" w14:textId="0ADE9891" w:rsidR="004625A2" w:rsidRPr="004625A2" w:rsidRDefault="006F241A" w:rsidP="00433B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Dans ce cadre, </w:t>
      </w:r>
      <w:r w:rsidR="004625A2" w:rsidRPr="004625A2">
        <w:rPr>
          <w:sz w:val="20"/>
          <w:szCs w:val="20"/>
        </w:rPr>
        <w:t xml:space="preserve">EMENDA recherche un ou des </w:t>
      </w:r>
      <w:r w:rsidR="00A42F65">
        <w:rPr>
          <w:sz w:val="20"/>
          <w:szCs w:val="20"/>
        </w:rPr>
        <w:t>chef</w:t>
      </w:r>
      <w:r w:rsidR="004625A2" w:rsidRPr="004625A2">
        <w:rPr>
          <w:sz w:val="20"/>
          <w:szCs w:val="20"/>
        </w:rPr>
        <w:t>(s)</w:t>
      </w:r>
      <w:r w:rsidR="00A42F65">
        <w:rPr>
          <w:sz w:val="20"/>
          <w:szCs w:val="20"/>
        </w:rPr>
        <w:t xml:space="preserve"> de projet </w:t>
      </w:r>
      <w:proofErr w:type="spellStart"/>
      <w:r w:rsidR="00A42F65">
        <w:rPr>
          <w:sz w:val="20"/>
          <w:szCs w:val="20"/>
        </w:rPr>
        <w:t>Energiesprong</w:t>
      </w:r>
      <w:proofErr w:type="spellEnd"/>
      <w:r w:rsidR="004625A2" w:rsidRPr="004625A2">
        <w:rPr>
          <w:sz w:val="20"/>
          <w:szCs w:val="20"/>
        </w:rPr>
        <w:t xml:space="preserve"> pour les missions suivantes :</w:t>
      </w:r>
    </w:p>
    <w:p w14:paraId="615AF7D0" w14:textId="58C87A7D" w:rsidR="004625A2" w:rsidRPr="000C1B68" w:rsidRDefault="000E54DD" w:rsidP="00433BB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Etablissement</w:t>
      </w:r>
      <w:r w:rsidR="00A442D7">
        <w:rPr>
          <w:sz w:val="20"/>
          <w:szCs w:val="20"/>
        </w:rPr>
        <w:t xml:space="preserve"> d</w:t>
      </w:r>
      <w:r w:rsidR="002270A3">
        <w:rPr>
          <w:sz w:val="20"/>
          <w:szCs w:val="20"/>
        </w:rPr>
        <w:t>es</w:t>
      </w:r>
      <w:r w:rsidR="00A442D7">
        <w:rPr>
          <w:sz w:val="20"/>
          <w:szCs w:val="20"/>
        </w:rPr>
        <w:t xml:space="preserve"> cahier</w:t>
      </w:r>
      <w:r w:rsidR="002270A3">
        <w:rPr>
          <w:sz w:val="20"/>
          <w:szCs w:val="20"/>
        </w:rPr>
        <w:t>s</w:t>
      </w:r>
      <w:r w:rsidR="00A442D7">
        <w:rPr>
          <w:sz w:val="20"/>
          <w:szCs w:val="20"/>
        </w:rPr>
        <w:t xml:space="preserve"> des charges de la consultation ;</w:t>
      </w:r>
    </w:p>
    <w:p w14:paraId="302E0883" w14:textId="6DF5F3C8" w:rsidR="00061CF4" w:rsidRDefault="000E54DD" w:rsidP="00433BB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Modélisations économiques et financières ;</w:t>
      </w:r>
    </w:p>
    <w:p w14:paraId="0F9641A9" w14:textId="6680FB22" w:rsidR="008A79CD" w:rsidRDefault="008A79CD" w:rsidP="00433BB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Simulations thermiques dynamiques ;</w:t>
      </w:r>
    </w:p>
    <w:p w14:paraId="7D2F3019" w14:textId="5EEB1F81" w:rsidR="008A79CD" w:rsidRDefault="008A79CD" w:rsidP="00433BB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Evaluations économiques ;</w:t>
      </w:r>
    </w:p>
    <w:p w14:paraId="7D24863B" w14:textId="63A99EA6" w:rsidR="008A79CD" w:rsidRDefault="008A79CD" w:rsidP="00433BB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Analyse des offres de</w:t>
      </w:r>
      <w:r w:rsidR="002270A3">
        <w:rPr>
          <w:sz w:val="20"/>
          <w:szCs w:val="20"/>
        </w:rPr>
        <w:t>s</w:t>
      </w:r>
      <w:r>
        <w:rPr>
          <w:sz w:val="20"/>
          <w:szCs w:val="20"/>
        </w:rPr>
        <w:t xml:space="preserve"> candidats ;</w:t>
      </w:r>
    </w:p>
    <w:p w14:paraId="7D3843E2" w14:textId="7E616107" w:rsidR="002270A3" w:rsidRDefault="002270A3" w:rsidP="00433BB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Pilotage </w:t>
      </w:r>
      <w:r w:rsidR="00F848B3">
        <w:rPr>
          <w:sz w:val="20"/>
          <w:szCs w:val="20"/>
        </w:rPr>
        <w:t>du dialogue compétitif au contact des candidats ;</w:t>
      </w:r>
    </w:p>
    <w:p w14:paraId="1F4681DD" w14:textId="2A9A6711" w:rsidR="008A79CD" w:rsidRDefault="00A63839" w:rsidP="00433BB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8A79CD">
        <w:rPr>
          <w:sz w:val="20"/>
          <w:szCs w:val="20"/>
        </w:rPr>
        <w:t>réparation des réunions et comités</w:t>
      </w:r>
      <w:r>
        <w:rPr>
          <w:sz w:val="20"/>
          <w:szCs w:val="20"/>
        </w:rPr>
        <w:t xml:space="preserve"> avec les partenaires et clients</w:t>
      </w:r>
      <w:r w:rsidR="008A79CD">
        <w:rPr>
          <w:sz w:val="20"/>
          <w:szCs w:val="20"/>
        </w:rPr>
        <w:t> ;</w:t>
      </w:r>
    </w:p>
    <w:p w14:paraId="3BD2A051" w14:textId="67E1423C" w:rsidR="004625A2" w:rsidRPr="004625A2" w:rsidRDefault="004625A2" w:rsidP="00433BBE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4625A2">
        <w:rPr>
          <w:sz w:val="20"/>
          <w:szCs w:val="20"/>
        </w:rPr>
        <w:t>Veille technique</w:t>
      </w:r>
      <w:r w:rsidR="0041305C">
        <w:rPr>
          <w:sz w:val="20"/>
          <w:szCs w:val="20"/>
        </w:rPr>
        <w:t> ;</w:t>
      </w:r>
    </w:p>
    <w:p w14:paraId="1A5D0D75" w14:textId="47B6F201" w:rsidR="00C849BF" w:rsidRPr="004625A2" w:rsidRDefault="004625A2" w:rsidP="00433BBE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4625A2">
        <w:rPr>
          <w:sz w:val="20"/>
          <w:szCs w:val="20"/>
        </w:rPr>
        <w:t>Veille réglementaire</w:t>
      </w:r>
      <w:r w:rsidR="0041305C">
        <w:rPr>
          <w:sz w:val="20"/>
          <w:szCs w:val="20"/>
        </w:rPr>
        <w:t>.</w:t>
      </w:r>
    </w:p>
    <w:p w14:paraId="7E6FB217" w14:textId="0B6E998B" w:rsidR="00B37E59" w:rsidRDefault="00B37E59" w:rsidP="00B37E59">
      <w:pPr>
        <w:spacing w:after="160"/>
        <w:jc w:val="both"/>
        <w:rPr>
          <w:sz w:val="20"/>
          <w:szCs w:val="20"/>
          <w:u w:val="single"/>
        </w:rPr>
      </w:pPr>
      <w:r w:rsidRPr="00760C68">
        <w:rPr>
          <w:sz w:val="20"/>
          <w:szCs w:val="20"/>
          <w:u w:val="single"/>
        </w:rPr>
        <w:t>Profil recherché :</w:t>
      </w:r>
    </w:p>
    <w:p w14:paraId="2D051781" w14:textId="7B69971E" w:rsidR="00796742" w:rsidRDefault="00796742" w:rsidP="00B37E59">
      <w:pPr>
        <w:spacing w:after="160"/>
        <w:jc w:val="both"/>
        <w:rPr>
          <w:sz w:val="20"/>
          <w:szCs w:val="20"/>
        </w:rPr>
      </w:pPr>
      <w:r w:rsidRPr="00796742">
        <w:rPr>
          <w:sz w:val="20"/>
          <w:szCs w:val="20"/>
        </w:rPr>
        <w:t xml:space="preserve">De formation supérieure (école d’ingénieur, architecte, 3ème cycle spécialisé...), vous avez une expérience réussie au minimum de </w:t>
      </w:r>
      <w:r>
        <w:rPr>
          <w:sz w:val="20"/>
          <w:szCs w:val="20"/>
        </w:rPr>
        <w:t>6</w:t>
      </w:r>
      <w:r w:rsidRPr="00796742">
        <w:rPr>
          <w:sz w:val="20"/>
          <w:szCs w:val="20"/>
        </w:rPr>
        <w:t xml:space="preserve"> ans dans les projets de type « bâtiment et/ou Immobilier » avec obligatoirement une expérience en maîtrise d’ouvrage et/ou maîtrise d’œuvre. Une expérience dans le champ de la rénovation est un plus. Des déplacements sur les sites sont à prévoir.</w:t>
      </w:r>
    </w:p>
    <w:p w14:paraId="1CD741D4" w14:textId="60EB6BA4" w:rsidR="00917436" w:rsidRPr="00796742" w:rsidRDefault="00917436" w:rsidP="00B37E59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Compétences complémentaires demandées :</w:t>
      </w:r>
    </w:p>
    <w:p w14:paraId="59AEEF2A" w14:textId="4A7CACEE" w:rsidR="00B37E59" w:rsidRDefault="00B37E59" w:rsidP="00B37E59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Maitrises des fondamentaux de la thermique du bâtiment ;</w:t>
      </w:r>
    </w:p>
    <w:p w14:paraId="74C9FAFE" w14:textId="5975AC8B" w:rsidR="008256E3" w:rsidRDefault="008256E3" w:rsidP="00B37E59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Culture TCE du bâtiment ;</w:t>
      </w:r>
    </w:p>
    <w:p w14:paraId="271A116D" w14:textId="0FB6D9B0" w:rsidR="00B37E59" w:rsidRPr="000E299E" w:rsidRDefault="00B37E59" w:rsidP="00B37E59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Maîtrise de la bureautique Office (Word, Excel, PPT)</w:t>
      </w:r>
      <w:r>
        <w:rPr>
          <w:sz w:val="20"/>
          <w:szCs w:val="20"/>
        </w:rPr>
        <w:t> ;</w:t>
      </w:r>
    </w:p>
    <w:p w14:paraId="2E1B3D0B" w14:textId="77777777" w:rsidR="00B37E59" w:rsidRDefault="00B37E59" w:rsidP="00B37E59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t>Curiosité, application et implication ;</w:t>
      </w:r>
    </w:p>
    <w:p w14:paraId="66019C8B" w14:textId="77777777" w:rsidR="00B37E59" w:rsidRPr="000E299E" w:rsidRDefault="00B37E59" w:rsidP="00B37E59">
      <w:pPr>
        <w:pStyle w:val="Paragraphedeliste"/>
        <w:numPr>
          <w:ilvl w:val="0"/>
          <w:numId w:val="1"/>
        </w:numPr>
        <w:spacing w:after="160"/>
        <w:jc w:val="both"/>
        <w:rPr>
          <w:sz w:val="20"/>
          <w:szCs w:val="20"/>
        </w:rPr>
      </w:pPr>
      <w:r w:rsidRPr="000E299E">
        <w:rPr>
          <w:sz w:val="20"/>
          <w:szCs w:val="20"/>
        </w:rPr>
        <w:lastRenderedPageBreak/>
        <w:t>Qualités rédactionnelles et maîtrise de l’orthographe (rédaction de rapports)</w:t>
      </w:r>
      <w:r>
        <w:rPr>
          <w:sz w:val="20"/>
          <w:szCs w:val="20"/>
        </w:rPr>
        <w:t>.</w:t>
      </w:r>
    </w:p>
    <w:p w14:paraId="66DF809F" w14:textId="77777777" w:rsidR="00B37E59" w:rsidRDefault="00B37E59" w:rsidP="00B37E59">
      <w:pPr>
        <w:spacing w:after="16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0762E8">
        <w:rPr>
          <w:sz w:val="20"/>
          <w:szCs w:val="20"/>
        </w:rPr>
        <w:t>iveau de rémunération fonction de l’expérience et du degré d’autonomie du candidat</w:t>
      </w:r>
      <w:r>
        <w:rPr>
          <w:sz w:val="20"/>
          <w:szCs w:val="20"/>
        </w:rPr>
        <w:t>. Une incitation à la performance sous forme de variable pourra être proposée.</w:t>
      </w:r>
    </w:p>
    <w:p w14:paraId="238F89CD" w14:textId="580A86B0" w:rsidR="00784E78" w:rsidRPr="000C1B68" w:rsidRDefault="00784E78" w:rsidP="00784E78">
      <w:pPr>
        <w:jc w:val="center"/>
        <w:rPr>
          <w:sz w:val="20"/>
          <w:szCs w:val="20"/>
        </w:rPr>
      </w:pPr>
      <w:r>
        <w:rPr>
          <w:sz w:val="20"/>
          <w:szCs w:val="20"/>
        </w:rPr>
        <w:t>***</w:t>
      </w:r>
    </w:p>
    <w:sectPr w:rsidR="00784E78" w:rsidRPr="000C1B6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9142" w14:textId="77777777" w:rsidR="00830EE0" w:rsidRDefault="00830EE0" w:rsidP="00A86DBE">
      <w:pPr>
        <w:spacing w:after="0" w:line="240" w:lineRule="auto"/>
      </w:pPr>
      <w:r>
        <w:separator/>
      </w:r>
    </w:p>
  </w:endnote>
  <w:endnote w:type="continuationSeparator" w:id="0">
    <w:p w14:paraId="2C2A8531" w14:textId="77777777" w:rsidR="00830EE0" w:rsidRDefault="00830EE0" w:rsidP="00A8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A937B" w14:textId="77777777" w:rsidR="00830EE0" w:rsidRDefault="00830EE0" w:rsidP="00A86DBE">
      <w:pPr>
        <w:spacing w:after="0" w:line="240" w:lineRule="auto"/>
      </w:pPr>
      <w:r>
        <w:separator/>
      </w:r>
    </w:p>
  </w:footnote>
  <w:footnote w:type="continuationSeparator" w:id="0">
    <w:p w14:paraId="1438C6C1" w14:textId="77777777" w:rsidR="00830EE0" w:rsidRDefault="00830EE0" w:rsidP="00A8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1F707" w14:textId="77777777" w:rsidR="00A86DBE" w:rsidRDefault="00A86DBE">
    <w:pPr>
      <w:pStyle w:val="En-tte"/>
    </w:pPr>
  </w:p>
  <w:p w14:paraId="52CE9518" w14:textId="77777777" w:rsidR="00A86DBE" w:rsidRDefault="00A86D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75DED"/>
    <w:multiLevelType w:val="hybridMultilevel"/>
    <w:tmpl w:val="3A02E226"/>
    <w:lvl w:ilvl="0" w:tplc="D68C7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22E"/>
    <w:rsid w:val="0005646A"/>
    <w:rsid w:val="00061CF4"/>
    <w:rsid w:val="000625B4"/>
    <w:rsid w:val="000762E8"/>
    <w:rsid w:val="000C1B68"/>
    <w:rsid w:val="000E299E"/>
    <w:rsid w:val="000E4808"/>
    <w:rsid w:val="000E54DD"/>
    <w:rsid w:val="001010C3"/>
    <w:rsid w:val="00124C1E"/>
    <w:rsid w:val="001E62F9"/>
    <w:rsid w:val="00225216"/>
    <w:rsid w:val="002270A3"/>
    <w:rsid w:val="00320C93"/>
    <w:rsid w:val="00360382"/>
    <w:rsid w:val="00374C93"/>
    <w:rsid w:val="00404BB5"/>
    <w:rsid w:val="0041305C"/>
    <w:rsid w:val="00433BBE"/>
    <w:rsid w:val="004625A2"/>
    <w:rsid w:val="00487D3A"/>
    <w:rsid w:val="00497FAC"/>
    <w:rsid w:val="00522D2C"/>
    <w:rsid w:val="00566C64"/>
    <w:rsid w:val="00567D47"/>
    <w:rsid w:val="00575782"/>
    <w:rsid w:val="005F61EF"/>
    <w:rsid w:val="00643BA1"/>
    <w:rsid w:val="00650084"/>
    <w:rsid w:val="0065522E"/>
    <w:rsid w:val="006F241A"/>
    <w:rsid w:val="00710142"/>
    <w:rsid w:val="00745973"/>
    <w:rsid w:val="00760C68"/>
    <w:rsid w:val="00761C0E"/>
    <w:rsid w:val="00764D67"/>
    <w:rsid w:val="00781B7C"/>
    <w:rsid w:val="00784E78"/>
    <w:rsid w:val="00796742"/>
    <w:rsid w:val="0082009D"/>
    <w:rsid w:val="008256E3"/>
    <w:rsid w:val="00826EB2"/>
    <w:rsid w:val="00830EE0"/>
    <w:rsid w:val="00850162"/>
    <w:rsid w:val="008631E3"/>
    <w:rsid w:val="008876B7"/>
    <w:rsid w:val="008A79CD"/>
    <w:rsid w:val="00917436"/>
    <w:rsid w:val="00944EBF"/>
    <w:rsid w:val="00950B60"/>
    <w:rsid w:val="009C5AF2"/>
    <w:rsid w:val="009C7247"/>
    <w:rsid w:val="00A07814"/>
    <w:rsid w:val="00A42F65"/>
    <w:rsid w:val="00A4303F"/>
    <w:rsid w:val="00A442D7"/>
    <w:rsid w:val="00A4614E"/>
    <w:rsid w:val="00A474DA"/>
    <w:rsid w:val="00A63839"/>
    <w:rsid w:val="00A86DBE"/>
    <w:rsid w:val="00B0027D"/>
    <w:rsid w:val="00B37E59"/>
    <w:rsid w:val="00BE0785"/>
    <w:rsid w:val="00C2436C"/>
    <w:rsid w:val="00C43519"/>
    <w:rsid w:val="00C849BF"/>
    <w:rsid w:val="00CA5969"/>
    <w:rsid w:val="00CC5E64"/>
    <w:rsid w:val="00DE30AE"/>
    <w:rsid w:val="00E30DAF"/>
    <w:rsid w:val="00E357F0"/>
    <w:rsid w:val="00E44F1B"/>
    <w:rsid w:val="00E76414"/>
    <w:rsid w:val="00EE3E2A"/>
    <w:rsid w:val="00F074D6"/>
    <w:rsid w:val="00F1157B"/>
    <w:rsid w:val="00F36925"/>
    <w:rsid w:val="00F726E1"/>
    <w:rsid w:val="00F8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7E09C8"/>
  <w15:docId w15:val="{A639962F-F00F-494E-BE4D-C3482B94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0B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1B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7D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DBE"/>
  </w:style>
  <w:style w:type="paragraph" w:styleId="Pieddepage">
    <w:name w:val="footer"/>
    <w:basedOn w:val="Normal"/>
    <w:link w:val="PieddepageCar"/>
    <w:uiPriority w:val="99"/>
    <w:unhideWhenUsed/>
    <w:rsid w:val="00A86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DBE"/>
  </w:style>
  <w:style w:type="table" w:styleId="Grilledutableau">
    <w:name w:val="Table Grid"/>
    <w:basedOn w:val="TableauNormal"/>
    <w:uiPriority w:val="59"/>
    <w:rsid w:val="0022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2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ergiesprong.fr/" TargetMode="External"/><Relationship Id="rId5" Type="http://schemas.openxmlformats.org/officeDocument/2006/relationships/styles" Target="styles.xml"/><Relationship Id="rId10" Type="http://schemas.openxmlformats.org/officeDocument/2006/relationships/hyperlink" Target="mailto:contact@emenda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A456CF14D5B4D96761C81CA94C66E" ma:contentTypeVersion="12" ma:contentTypeDescription="Crée un document." ma:contentTypeScope="" ma:versionID="0e6eed2de26041cff6f8abae0316f744">
  <xsd:schema xmlns:xsd="http://www.w3.org/2001/XMLSchema" xmlns:xs="http://www.w3.org/2001/XMLSchema" xmlns:p="http://schemas.microsoft.com/office/2006/metadata/properties" xmlns:ns2="b072994c-cc1e-4670-ba0c-dd45c27f2380" xmlns:ns3="6a550d65-7b48-44f1-a537-8b06f6a01a21" targetNamespace="http://schemas.microsoft.com/office/2006/metadata/properties" ma:root="true" ma:fieldsID="d5ad9f83cc3a4513b195ca5259e6ca60" ns2:_="" ns3:_="">
    <xsd:import namespace="b072994c-cc1e-4670-ba0c-dd45c27f2380"/>
    <xsd:import namespace="6a550d65-7b48-44f1-a537-8b06f6a01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2994c-cc1e-4670-ba0c-dd45c27f2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50d65-7b48-44f1-a537-8b06f6a01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DC2D7E-BFD3-48C5-A085-9472322E9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2994c-cc1e-4670-ba0c-dd45c27f2380"/>
    <ds:schemaRef ds:uri="6a550d65-7b48-44f1-a537-8b06f6a01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3F6D0F-345A-4168-ABB2-683EF235B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C2AF2-EC5F-4A1D-AEFE-087432628A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Mathieu GARCIA</cp:lastModifiedBy>
  <cp:revision>35</cp:revision>
  <cp:lastPrinted>2013-09-19T17:36:00Z</cp:lastPrinted>
  <dcterms:created xsi:type="dcterms:W3CDTF">2016-11-08T04:04:00Z</dcterms:created>
  <dcterms:modified xsi:type="dcterms:W3CDTF">2021-04-04T13:49:00Z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0x010100E95A456CF14D5B4D96761C81CA94C66E</vt:lpwstr>
  </property>
</Properties>
</file>